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jc w:val="center"/>
        <w:rPr>
          <w:b/>
        </w:rPr>
      </w:pPr>
      <w:r>
        <w:rPr>
          <w:b/>
        </w:rPr>
        <w:t>Результаты осуществления Управлением Федерального казначейства</w:t>
        <w:br/>
        <w:t xml:space="preserve">по Ставропольскому краю полномочий по контролю </w:t>
        <w:br/>
        <w:t>в финансово-бюджетной сфере за 2025 год</w:t>
      </w:r>
    </w:p>
    <w:p>
      <w:pPr>
        <w:pStyle w:val="ConsPlusNormal"/>
        <w:jc w:val="center"/>
        <w:rPr>
          <w:b/>
        </w:rPr>
      </w:pPr>
      <w:r>
        <w:rPr>
          <w:b/>
        </w:rPr>
      </w:r>
    </w:p>
    <w:p>
      <w:pPr>
        <w:pStyle w:val="ConsPlusNormal"/>
        <w:ind w:firstLine="708"/>
        <w:jc w:val="both"/>
        <w:rPr/>
      </w:pPr>
      <w:r>
        <w:rPr/>
        <w:t>За 2025 год Управлением Федерального казначейства по Ставропольскому краю</w:t>
      </w:r>
      <w:r>
        <w:rPr>
          <w:rStyle w:val="FootnoteReference"/>
        </w:rPr>
        <w:footnoteReference w:id="2"/>
      </w:r>
      <w:r>
        <w:rPr/>
        <w:t xml:space="preserve"> рассмотрены результаты 58</w:t>
      </w:r>
      <w:bookmarkStart w:id="0" w:name="_GoBack"/>
      <w:r>
        <w:rPr/>
        <w:t xml:space="preserve"> </w:t>
      </w:r>
      <w:bookmarkEnd w:id="0"/>
      <w:r>
        <w:rPr/>
        <w:t>контрольных мероприятий, в том числе 2 проверок, проведенных в соответствии с Планом контрольных мероприятий Управления на 2024 год, 36 – в соответствии с Планом контрольных мероприятий Управления на 2025 год, 10 – внеплановых контрольных мероприятий</w:t>
        <w:br/>
        <w:t>и 10 обследовани</w:t>
      </w:r>
      <w:r>
        <w:rPr/>
        <w:t>й</w:t>
      </w:r>
      <w:r>
        <w:rPr/>
        <w:t>. Результаты проведенных контрольных мероприятий рассмотрены на 24 заседаниях Контрольной комиссии Управления. Также специалисты контрольно-ревизионных отделов Управления привлекались для участия в контрольных мероприятиях по поручению Федерального казначейства, других территориальных орган</w:t>
      </w:r>
      <w:r>
        <w:rPr>
          <w:shd w:fill="auto" w:val="clear"/>
        </w:rPr>
        <w:t>ов Федерального казначейства, Южной транспортной прокуратуры, прокуратуры Ставропольского края.</w:t>
      </w:r>
    </w:p>
    <w:p>
      <w:pPr>
        <w:pStyle w:val="ConsPlusNormal"/>
        <w:ind w:firstLine="709"/>
        <w:jc w:val="both"/>
        <w:rPr/>
      </w:pPr>
      <w:r>
        <w:rPr/>
        <w:t>Объем проверенных средств составил 79 033 788,13 тыс. рублей.</w:t>
      </w:r>
    </w:p>
    <w:p>
      <w:pPr>
        <w:pStyle w:val="ConsPlusNormal"/>
        <w:ind w:firstLine="709"/>
        <w:jc w:val="both"/>
        <w:rPr/>
      </w:pPr>
      <w:r>
        <w:rPr>
          <w:rFonts w:eastAsia="Times New Roman"/>
          <w:iCs/>
          <w:lang w:eastAsia="ru-RU"/>
        </w:rPr>
        <w:t xml:space="preserve">Всего выявлено нарушений на сумму </w:t>
      </w:r>
      <w:r>
        <w:rPr>
          <w:rFonts w:eastAsia="Times New Roman"/>
          <w:iCs/>
          <w:lang w:eastAsia="ru-RU"/>
        </w:rPr>
        <w:t>5</w:t>
      </w:r>
      <w:r>
        <w:rPr/>
        <w:t> 722 154,05 тыс. рублей.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 2025 год направлено объектам контроля 36 представлени</w:t>
      </w:r>
      <w:r>
        <w:rPr>
          <w:rFonts w:cs="Times New Roman" w:ascii="Times New Roman" w:hAnsi="Times New Roman"/>
          <w:sz w:val="28"/>
          <w:szCs w:val="28"/>
        </w:rPr>
        <w:t>й</w:t>
      </w:r>
      <w:r>
        <w:rPr>
          <w:rFonts w:cs="Times New Roman" w:ascii="Times New Roman" w:hAnsi="Times New Roman"/>
          <w:sz w:val="28"/>
          <w:szCs w:val="28"/>
        </w:rPr>
        <w:t>, 6 предписани</w:t>
      </w:r>
      <w:r>
        <w:rPr>
          <w:rFonts w:cs="Times New Roman" w:ascii="Times New Roman" w:hAnsi="Times New Roman"/>
          <w:sz w:val="28"/>
          <w:szCs w:val="28"/>
        </w:rPr>
        <w:t>й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ListParagraph"/>
        <w:spacing w:lineRule="auto" w:line="240"/>
        <w:ind w:firstLine="703" w:left="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Уведомления о применении бюджетных мер принуждения в Министерство финансов Российской Федерации не направлялись.</w:t>
      </w:r>
    </w:p>
    <w:p>
      <w:pPr>
        <w:pStyle w:val="ConsPlusNormal"/>
        <w:ind w:firstLine="703"/>
        <w:jc w:val="both"/>
        <w:rPr/>
      </w:pPr>
      <w:r>
        <w:rPr>
          <w:lang w:eastAsia="ru-RU"/>
        </w:rPr>
        <w:t>Информационные письма в правоохранительные органы и органы прокуратуры Ставропольского края направлены по 45 контрольным мероприятиям, и переданы материалы по 8 контрольным мероприятиям.</w:t>
      </w:r>
    </w:p>
    <w:p>
      <w:pPr>
        <w:pStyle w:val="ConsPlusNormal"/>
        <w:ind w:firstLine="709"/>
        <w:jc w:val="both"/>
        <w:rPr>
          <w:lang w:eastAsia="ru-RU"/>
        </w:rPr>
      </w:pPr>
      <w:r>
        <w:rPr/>
        <w:t>За 2025 год должностными лицами Управления составлено 24 протокола об административных правонарушениях, наложено штрафов по административным правонарушениям на сумму 392,04 тыс. рублей, оплачено – 292,02 тыс. рублей</w:t>
        <w:br/>
        <w:t>(в том числе по протоколам, составленным в 2024 году).</w:t>
      </w:r>
    </w:p>
    <w:sectPr>
      <w:headerReference w:type="default" r:id="rId2"/>
      <w:footnotePr>
        <w:numFmt w:val="decimal"/>
      </w:footnotePr>
      <w:type w:val="nextPage"/>
      <w:pgSz w:w="11906" w:h="16838"/>
      <w:pgMar w:left="1134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rPr>
          <w:rFonts w:ascii="Times New Roman" w:hAnsi="Times New Roman" w:cs="Times New Roman"/>
          <w:sz w:val="24"/>
        </w:rPr>
      </w:pPr>
      <w:r>
        <w:rPr>
          <w:rStyle w:val="Style18"/>
        </w:rPr>
        <w:footnoteRef/>
      </w:r>
      <w:r>
        <w:rPr/>
        <w:t xml:space="preserve"> </w:t>
      </w:r>
      <w:r>
        <w:rPr>
          <w:rFonts w:cs="Times New Roman" w:ascii="Times New Roman" w:hAnsi="Times New Roman"/>
          <w:sz w:val="24"/>
        </w:rPr>
        <w:t>далее – Управление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328b5"/>
    <w:pPr>
      <w:widowControl/>
      <w:bidi w:val="0"/>
      <w:spacing w:lineRule="auto" w:line="276" w:before="0" w:after="200"/>
      <w:jc w:val="left"/>
    </w:pPr>
    <w:rPr>
      <w:rFonts w:cs="Calibri" w:ascii="Calibri" w:hAnsi="Calibri" w:eastAsia="Calibri"/>
      <w:color w:val="auto"/>
      <w:kern w:val="0"/>
      <w:sz w:val="22"/>
      <w:szCs w:val="22"/>
      <w:lang w:eastAsia="en-US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9a42fd"/>
    <w:rPr/>
  </w:style>
  <w:style w:type="character" w:styleId="Style15" w:customStyle="1">
    <w:name w:val="Нижний колонтитул Знак"/>
    <w:basedOn w:val="DefaultParagraphFont"/>
    <w:uiPriority w:val="99"/>
    <w:qFormat/>
    <w:rsid w:val="009a42fd"/>
    <w:rPr/>
  </w:style>
  <w:style w:type="character" w:styleId="Style16" w:customStyle="1">
    <w:name w:val="Текст выноски Знак"/>
    <w:link w:val="BalloonText"/>
    <w:uiPriority w:val="99"/>
    <w:semiHidden/>
    <w:qFormat/>
    <w:rsid w:val="00241d43"/>
    <w:rPr>
      <w:rFonts w:ascii="Tahoma" w:hAnsi="Tahoma" w:cs="Tahoma"/>
      <w:sz w:val="16"/>
      <w:szCs w:val="16"/>
    </w:rPr>
  </w:style>
  <w:style w:type="character" w:styleId="Style17" w:customStyle="1">
    <w:name w:val="Текст сноски Знак"/>
    <w:basedOn w:val="DefaultParagraphFont"/>
    <w:uiPriority w:val="99"/>
    <w:semiHidden/>
    <w:qFormat/>
    <w:rsid w:val="001e5a1c"/>
    <w:rPr>
      <w:rFonts w:cs="Calibri"/>
      <w:lang w:eastAsia="en-US"/>
    </w:rPr>
  </w:style>
  <w:style w:type="character" w:styleId="Style18">
    <w:name w:val="Символ сноски"/>
    <w:basedOn w:val="DefaultParagraphFont"/>
    <w:uiPriority w:val="99"/>
    <w:semiHidden/>
    <w:unhideWhenUsed/>
    <w:qFormat/>
    <w:rsid w:val="001e5a1c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9">
    <w:name w:val="Символ концевой сноски"/>
    <w:qFormat/>
    <w:rPr/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 w:customStyle="1">
    <w:name w:val="ConsPlusNormal"/>
    <w:qFormat/>
    <w:rsid w:val="007f7f7b"/>
    <w:pPr>
      <w:widowControl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8"/>
      <w:szCs w:val="28"/>
      <w:lang w:eastAsia="en-US" w:val="ru-RU" w:bidi="ar-SA"/>
    </w:rPr>
  </w:style>
  <w:style w:type="paragraph" w:styleId="Style22">
    <w:name w:val="Колонтитул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9a42f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cs="Times New Roman"/>
    </w:rPr>
  </w:style>
  <w:style w:type="paragraph" w:styleId="Footer">
    <w:name w:val="Footer"/>
    <w:basedOn w:val="Normal"/>
    <w:link w:val="Style15"/>
    <w:uiPriority w:val="99"/>
    <w:unhideWhenUsed/>
    <w:rsid w:val="009a42f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cs="Times New Roman"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241d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ec7fcd"/>
    <w:pPr>
      <w:widowControl w:val="false"/>
      <w:spacing w:lineRule="auto" w:line="273" w:before="0" w:after="0"/>
      <w:ind w:left="720"/>
    </w:pPr>
    <w:rPr>
      <w:rFonts w:ascii="Times New Roman" w:hAnsi="Times New Roman" w:eastAsia="Times New Roman" w:cs="Times New Roman"/>
      <w:lang w:val="en-US"/>
    </w:rPr>
  </w:style>
  <w:style w:type="paragraph" w:styleId="FootnoteText">
    <w:name w:val="Footnote Text"/>
    <w:basedOn w:val="Normal"/>
    <w:link w:val="Style17"/>
    <w:uiPriority w:val="99"/>
    <w:semiHidden/>
    <w:unhideWhenUsed/>
    <w:rsid w:val="001e5a1c"/>
    <w:pPr>
      <w:spacing w:lineRule="auto" w:line="240" w:before="0" w:after="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246b5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notes" Target="footnot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26137-8E30-44AE-AF1C-DC470827A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Application>LibreOffice/7.6.7.2$Linux_X86_64 LibreOffice_project/60$Build-2</Application>
  <AppVersion>15.0000</AppVersion>
  <Pages>1</Pages>
  <Words>204</Words>
  <Characters>1486</Characters>
  <CharactersWithSpaces>1686</CharactersWithSpaces>
  <Paragraphs>10</Paragraphs>
  <Company>УФК по Ставропольскому краю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2023-11-09T08:43:00Z</dcterms:created>
  <dc:creator>Кукушкина Инна Геннадьевна</dc:creator>
  <dc:description/>
  <dc:language>ru-RU</dc:language>
  <cp:lastModifiedBy/>
  <cp:lastPrinted>2024-02-01T09:08:00Z</cp:lastPrinted>
  <dcterms:modified xsi:type="dcterms:W3CDTF">2026-01-23T11:54:38Z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