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t xml:space="preserve">План повышения квалификации и обучения в Управлении Федерального казначейства </w:t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t xml:space="preserve">по Ставропольскому краю сотрудников органов Федерального казначейства на 202</w:t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244061" w:themeColor="accent1" w:themeShade="80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r>
    </w:p>
    <w:p>
      <w:pPr>
        <w:contextualSpacing w:val="0"/>
        <w:jc w:val="center"/>
        <w:spacing w:after="0" w:line="240" w:lineRule="auto"/>
        <w:rPr>
          <w:rFonts w:ascii="Times New Roman" w:hAnsi="Times New Roman" w:cs="Times New Roman"/>
          <w:color w:val="244161" w:themeColor="accent1" w:themeShade="80"/>
          <w:sz w:val="24"/>
          <w:szCs w:val="24"/>
        </w:rPr>
      </w:pPr>
      <w:r>
        <w:rPr>
          <w:rFonts w:ascii="Times New Roman" w:hAnsi="Times New Roman" w:eastAsia="Times New Roman" w:cs="Times New Roman"/>
          <w:color w:val="244161" w:themeColor="accent1" w:themeShade="80"/>
          <w:sz w:val="24"/>
          <w:szCs w:val="24"/>
        </w:rPr>
      </w:r>
      <w:r>
        <w:rPr>
          <w:rFonts w:ascii="Times New Roman" w:hAnsi="Times New Roman" w:cs="Times New Roman"/>
          <w:color w:val="244161" w:themeColor="accent1" w:themeShade="80"/>
          <w:sz w:val="24"/>
          <w:szCs w:val="24"/>
        </w:rPr>
      </w:r>
      <w:r>
        <w:rPr>
          <w:rFonts w:ascii="Times New Roman" w:hAnsi="Times New Roman" w:cs="Times New Roman"/>
          <w:color w:val="244161" w:themeColor="accent1" w:themeShade="80"/>
          <w:sz w:val="24"/>
          <w:szCs w:val="24"/>
        </w:rPr>
      </w:r>
    </w:p>
    <w:p>
      <w:pPr>
        <w:contextualSpacing w:val="0"/>
        <w:jc w:val="both"/>
        <w:spacing w:after="0" w:line="240" w:lineRule="auto"/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</w:rPr>
      </w:pP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соответствии с Планом профессиональной переподготовки, повышения квалификации сотрудников органов Федерального казначейства 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и подведомственных организаций в области защиты государственной тайны, технической защиты информации, гражданской обороны и мобилизационной подготовки на 2026 год, утвержденным руководителем Федерального казначейства Р.Е. 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Артюхиным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 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en-US"/>
        </w:rPr>
        <w:t xml:space="preserve">11.12.2025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, в 202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году планируется обучение 175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 сотрудник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 органов Федера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льного казначейства по следующим дополнительным профессиональным программам: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</w:rPr>
      </w:r>
      <w:r>
        <w:rPr>
          <w:rFonts w:ascii="Times New Roman" w:hAnsi="Times New Roman" w:eastAsia="Times New Roman" w:cs="Times New Roman"/>
          <w:color w:val="0f243e" w:themeColor="text2" w:themeShade="80"/>
          <w:sz w:val="24"/>
          <w:szCs w:val="24"/>
        </w:rPr>
      </w:r>
    </w:p>
    <w:p>
      <w:pPr>
        <w:contextualSpacing w:val="0"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eastAsia="Times New Roman" w:cs="Times New Roman"/>
          <w:color w:val="0f243e" w:themeColor="text2" w:themeShade="8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f243e" w:themeColor="text2" w:themeShade="80"/>
          <w:sz w:val="16"/>
          <w:szCs w:val="16"/>
        </w:rPr>
      </w:r>
      <w:r>
        <w:rPr>
          <w:rFonts w:ascii="Times New Roman" w:hAnsi="Times New Roman" w:eastAsia="Times New Roman" w:cs="Times New Roman"/>
          <w:color w:val="0f243e" w:themeColor="text2" w:themeShade="80"/>
          <w:sz w:val="16"/>
          <w:szCs w:val="16"/>
        </w:rPr>
      </w:r>
    </w:p>
    <w:tbl>
      <w:tblPr>
        <w:tblStyle w:val="838"/>
        <w:tblW w:w="0" w:type="auto"/>
        <w:tblInd w:w="108" w:type="dxa"/>
        <w:tblBorders>
          <w:top w:val="single" w:color="244061" w:themeColor="accent1" w:themeShade="80" w:sz="4" w:space="0"/>
          <w:left w:val="single" w:color="244061" w:themeColor="accent1" w:themeShade="80" w:sz="4" w:space="0"/>
          <w:bottom w:val="single" w:color="244061" w:themeColor="accent1" w:themeShade="80" w:sz="4" w:space="0"/>
          <w:right w:val="single" w:color="244061" w:themeColor="accent1" w:themeShade="80" w:sz="4" w:space="0"/>
          <w:insideH w:val="single" w:color="244061" w:themeColor="accent1" w:themeShade="80" w:sz="4" w:space="0"/>
          <w:insideV w:val="single" w:color="244061" w:themeColor="accent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2552"/>
        <w:gridCol w:w="1275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№ 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п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/п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Наименование дополнительной профессиональной программы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Период реализации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Плановое значение (чел.)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</w:tr>
      <w:tr>
        <w:tblPrEx/>
        <w:trPr/>
        <w:tc>
          <w:tcPr>
            <w:gridSpan w:val="4"/>
            <w:tcW w:w="10206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Программы повышения квалификации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839"/>
              <w:numPr>
                <w:ilvl w:val="0"/>
                <w:numId w:val="3"/>
              </w:numPr>
              <w:contextualSpacing w:val="0"/>
              <w:ind w:left="0" w:firstLine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5812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rPr>
                <w:rFonts w:ascii="Times New Roman" w:hAnsi="Times New Roman" w:eastAsia="Times New Roman" w:cs="Times New Roman"/>
                <w:b w:val="0"/>
                <w:bCs w:val="0"/>
                <w:color w:val="0f243e" w:themeColor="text2" w:themeShade="80"/>
                <w:sz w:val="18"/>
                <w:szCs w:val="1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f243e" w:themeColor="text2" w:themeShade="80"/>
                <w:sz w:val="24"/>
                <w:szCs w:val="20"/>
                <w:u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f243e" w:themeColor="text2" w:themeShade="80"/>
                <w:sz w:val="24"/>
                <w:szCs w:val="20"/>
                <w:u w:val="none"/>
                <w:vertAlign w:val="baseline"/>
              </w:rPr>
              <w:t xml:space="preserve">Мобилизационная подготовка и мобилизация</w:t>
              <w:br/>
              <w:t xml:space="preserve">в Федеральном казначействе»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243e" w:themeColor="text2" w:themeShade="8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243e" w:themeColor="text2" w:themeShade="80"/>
                <w:sz w:val="18"/>
                <w:szCs w:val="18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26.01.2026 - 30.01.2026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16.02.2026 - 20.02.2026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cs="Times New Roman"/>
                <w:color w:val="244061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23.11.2026 - 27.11.2026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244061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244061" w:themeColor="text2" w:themeShade="80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</w:p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highlight w:val="none"/>
                <w:lang w:eastAsia="ru-RU"/>
              </w:rPr>
            </w:r>
          </w:p>
        </w:tc>
      </w:tr>
      <w:tr>
        <w:tblPrEx/>
        <w:trPr>
          <w:trHeight w:val="67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839"/>
              <w:numPr>
                <w:ilvl w:val="0"/>
                <w:numId w:val="3"/>
              </w:numPr>
              <w:contextualSpacing w:val="0"/>
              <w:ind w:left="0" w:firstLine="0"/>
              <w:jc w:val="left"/>
              <w:rPr>
                <w:rFonts w:ascii="Times New Roman" w:hAnsi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5812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rPr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color w:val="0f243e" w:themeColor="text2" w:themeShade="80"/>
                <w:lang w:eastAsia="ru-RU"/>
              </w:rPr>
              <w:t xml:space="preserve">«Подготовка в области </w:t>
            </w:r>
            <w:r>
              <w:rPr>
                <w:rFonts w:ascii="Times New Roman" w:hAnsi="Times New Roman" w:eastAsia="Times New Roman" w:cs="Times New Roman"/>
                <w:bCs/>
                <w:color w:val="0f243e" w:themeColor="text2" w:themeShade="80"/>
                <w:lang w:eastAsia="ru-RU"/>
              </w:rPr>
              <w:t xml:space="preserve">гражданской обороны и </w:t>
            </w:r>
            <w:r>
              <w:rPr>
                <w:rFonts w:ascii="Times New Roman" w:hAnsi="Times New Roman" w:eastAsia="Times New Roman" w:cs="Times New Roman"/>
                <w:bCs/>
                <w:color w:val="0f243e" w:themeColor="text2" w:themeShade="80"/>
                <w:lang w:eastAsia="ru-RU"/>
              </w:rPr>
              <w:t xml:space="preserve">защиты</w:t>
              <w:br/>
              <w:t xml:space="preserve">от чрезвычайных ситуаций в Федеральном казначействе»</w:t>
            </w:r>
            <w:r>
              <w:rPr>
                <w:rFonts w:ascii="Times New Roman" w:hAnsi="Times New Roman" w:eastAsia="Times New Roman" w:cs="Times New Roman"/>
                <w:bCs/>
                <w:color w:val="0f243e" w:themeColor="text2" w:themeShade="80"/>
                <w:lang w:eastAsia="ru-RU"/>
              </w:rPr>
            </w:r>
            <w:r>
              <w:rPr>
                <w:color w:val="0f243e" w:themeColor="text2" w:themeShade="80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jc w:val="center"/>
              <w:rPr>
                <w:rFonts w:ascii="Times New Roman" w:hAnsi="Times New Roman" w:eastAsia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20.04.2026 - 24.04.2026</w:t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eastAsia="Times New Roman" w:cs="Times New Roman"/>
                <w:color w:val="0f243e" w:themeColor="text2" w:themeShade="80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contextualSpacing w:val="0"/>
              <w:ind w:left="0" w:firstLine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  <w:suppressLineNumbers w:val="0"/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70</w:t>
            </w:r>
            <w:r>
              <w:rPr>
                <w:rFonts w:ascii="Times New Roman" w:hAnsi="Times New Roman" w:cs="Times New Roman"/>
                <w:color w:val="0f243e" w:themeColor="text2" w:themeShade="80"/>
                <w:lang w:val="en-US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</w:tr>
      <w:tr>
        <w:tblPrEx/>
        <w:trPr/>
        <w:tc>
          <w:tcPr>
            <w:gridSpan w:val="3"/>
            <w:tcW w:w="8931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</w:rPr>
              <w:t xml:space="preserve">Итого: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color w:val="0f243e" w:themeColor="text2" w:themeShade="80"/>
              </w:rPr>
            </w:pPr>
            <w:r>
              <w:rPr>
                <w:rFonts w:ascii="Times New Roman" w:hAnsi="Times New Roman" w:eastAsia="Times New Roman" w:cs="Times New Roman"/>
                <w:color w:val="0f243e" w:themeColor="text2" w:themeShade="80"/>
                <w:lang w:eastAsia="ru-RU"/>
              </w:rPr>
              <w:t xml:space="preserve">175</w:t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  <w:r>
              <w:rPr>
                <w:rFonts w:ascii="Times New Roman" w:hAnsi="Times New Roman" w:cs="Times New Roman"/>
                <w:color w:val="0f243e" w:themeColor="text2" w:themeShade="80"/>
              </w:rPr>
            </w:r>
          </w:p>
        </w:tc>
      </w:tr>
    </w:tbl>
    <w:p>
      <w:pPr>
        <w:contextualSpacing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851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3"/>
      <w:numFmt w:val="decimalZero"/>
      <w:isLgl/>
      <w:suff w:val="tab"/>
      <w:lvlText w:val="%1.%2"/>
      <w:lvlJc w:val="left"/>
      <w:pPr>
        <w:ind w:left="1125" w:hanging="1125"/>
      </w:pPr>
      <w:rPr>
        <w:rFonts w:hint="default"/>
      </w:rPr>
    </w:lvl>
    <w:lvl w:ilvl="2">
      <w:start w:val="2025"/>
      <w:numFmt w:val="decimal"/>
      <w:isLgl/>
      <w:suff w:val="tab"/>
      <w:lvlText w:val="%1.%2.%3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125" w:hanging="1125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125" w:hanging="1125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125" w:hanging="1125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5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5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5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5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5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5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5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5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5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5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5"/>
    <w:link w:val="685"/>
    <w:uiPriority w:val="99"/>
  </w:style>
  <w:style w:type="paragraph" w:styleId="687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5"/>
    <w:link w:val="687"/>
    <w:uiPriority w:val="99"/>
  </w:style>
  <w:style w:type="paragraph" w:styleId="689">
    <w:name w:val="Caption"/>
    <w:basedOn w:val="834"/>
    <w:next w:val="834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5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rPr>
      <w:rFonts w:asciiTheme="minorHAnsi" w:hAnsiTheme="minorHAnsi"/>
      <w:sz w:val="22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table" w:styleId="838">
    <w:name w:val="Table Grid"/>
    <w:basedOn w:val="836"/>
    <w:uiPriority w:val="59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List Paragraph"/>
    <w:basedOn w:val="83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19F39-A323-46BF-922C-403738F0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УФК по Волгоградской области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tyutyunnikma</cp:lastModifiedBy>
  <cp:revision>11</cp:revision>
  <dcterms:created xsi:type="dcterms:W3CDTF">2026-02-27T11:49:00Z</dcterms:created>
  <dcterms:modified xsi:type="dcterms:W3CDTF">2026-05-28T08:29:41Z</dcterms:modified>
</cp:coreProperties>
</file>